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E4" w:rsidRPr="007E3EE4" w:rsidRDefault="007E3EE4" w:rsidP="007E3EE4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EE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CONVENÇÃO COLETIVA DE TRABALHO 2010/2011</w:t>
      </w:r>
      <w:r w:rsidRPr="007E3EE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br/>
      </w:r>
      <w:r w:rsidRPr="007E3EE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br/>
      </w:r>
      <w:r w:rsidRPr="007E3EE4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br/>
      </w:r>
    </w:p>
    <w:tbl>
      <w:tblPr>
        <w:tblW w:w="0" w:type="auto"/>
        <w:tblCellSpacing w:w="15" w:type="dxa"/>
        <w:tblLook w:val="04A0"/>
      </w:tblPr>
      <w:tblGrid>
        <w:gridCol w:w="3996"/>
        <w:gridCol w:w="2322"/>
      </w:tblGrid>
      <w:tr w:rsidR="007E3EE4" w:rsidRPr="007E3EE4" w:rsidTr="007E3E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NÚMERO DE REGISTRO NO MTE: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SP014816/2010</w:t>
            </w:r>
          </w:p>
        </w:tc>
      </w:tr>
      <w:tr w:rsidR="007E3EE4" w:rsidRPr="007E3EE4" w:rsidTr="007E3E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DATA DE REGISTRO NO MTE: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13/12/2010</w:t>
            </w:r>
          </w:p>
        </w:tc>
      </w:tr>
      <w:tr w:rsidR="007E3EE4" w:rsidRPr="007E3EE4" w:rsidTr="007E3E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NÚMERO DA SOLICITAÇÃO: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MR067422/2010</w:t>
            </w:r>
          </w:p>
        </w:tc>
      </w:tr>
      <w:tr w:rsidR="007E3EE4" w:rsidRPr="007E3EE4" w:rsidTr="007E3E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NÚMERO DO PROCESSO: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46265.002758/2010-52</w:t>
            </w:r>
          </w:p>
        </w:tc>
      </w:tr>
      <w:tr w:rsidR="007E3EE4" w:rsidRPr="007E3EE4" w:rsidTr="007E3E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DATA DO PROTOCOLO: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08/12/2010</w:t>
            </w:r>
          </w:p>
        </w:tc>
      </w:tr>
    </w:tbl>
    <w:p w:rsidR="007E3EE4" w:rsidRPr="007E3EE4" w:rsidRDefault="007E3EE4" w:rsidP="007E3EE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E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E3E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E3EE4" w:rsidRPr="007E3EE4" w:rsidRDefault="007E3EE4" w:rsidP="007E3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15" w:type="dxa"/>
        <w:tblLook w:val="04A0"/>
      </w:tblPr>
      <w:tblGrid>
        <w:gridCol w:w="8594"/>
      </w:tblGrid>
      <w:tr w:rsidR="007E3EE4" w:rsidRPr="007E3EE4" w:rsidTr="007E3E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E3EE4" w:rsidRPr="007E3EE4" w:rsidTr="007E3E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SINDICATO DOS EMP NO COM HOTELEIRO E SIM DE ARACATUBA, CNPJ n. 51.102.952/0001-57, neste ato </w:t>
            </w:r>
            <w:proofErr w:type="gramStart"/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representado(</w:t>
            </w:r>
            <w:proofErr w:type="gramEnd"/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por seu Membro de Diretoria Colegiada, Sr(a). GERALDO DOS REIS;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FEDERACAO EMPREGS COMERCIO HOTELEIRO SIMIL ESTA S PAULO, CNPJ n. 62.809.819/0001-51, neste ato </w:t>
            </w:r>
            <w:proofErr w:type="gramStart"/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representado(</w:t>
            </w:r>
            <w:proofErr w:type="gramEnd"/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por seu Procurador, Sr(a). GERALDO DOS REIS;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E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SINDICATO DE HOTEIS REST BARES E SIMILARES DE ARACATUBA, CNPJ n. 51.106.946/0001-78, neste ato </w:t>
            </w:r>
            <w:proofErr w:type="gramStart"/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representado(</w:t>
            </w:r>
            <w:proofErr w:type="gramEnd"/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por seu Presidente, Sr(a). LIU SHANG SHIEN;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FED HOTEIS RESTAURANTES BARES E SIMILARES EST SAO PAULO, CNPJ n. 58.109.471/0001-12, neste ato </w:t>
            </w:r>
            <w:proofErr w:type="gramStart"/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representado(</w:t>
            </w:r>
            <w:proofErr w:type="gramEnd"/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por seu Procurador, Sr(a). LIU SHANG SHIEN;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celebram a presente CONVENÇÃO COLETIVA DE TRABALHO, estipulando as condições de trabalho previstas nas cláusulas seguintes: 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PRIMEIRA - VIGÊNCIA E DATA-BASE 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As partes fixam a vigência da presente Convenção Coletiva de Trabalho no per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odo de </w:t>
            </w:r>
            <w:proofErr w:type="gramStart"/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dezembro de 2010 a 30 de novembro de 2011 e a data-base da categoria em 1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dezembro. 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SEGUNDA - ABRANG</w:t>
            </w:r>
            <w:r w:rsidRPr="007E3EE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NCIA 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br/>
              <w:t>A presente Conven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Coletiva de Trabalho abranger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a(s) categoria(s) 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Dos Empregados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Exercentes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das mesmas funções da mesma categoria profissional exercida em Hotéis,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Apart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Hotéis, Motéis, Pensões, Hospedagem, Hospedarias, Pousadas, Bares, Restaurantes, Lanchonetes, Pizzarias,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Chopperias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Churrascarias, Casas de Chás, Cantinas,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Driver’ins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Pastelarias, Cafés, Caldo de Cana, Alimentação Preparada, Bebidas a Varejo, </w:t>
            </w:r>
            <w:proofErr w:type="gram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Garçons, Cozinheiros,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Barmans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Maitres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) Bar- Sorveterias, Padarias (Parte comercial dos trabalhadores no Restaurante, Pizzaria, Lanchonete, Lanches, Sucos e bebidas),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Buffets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Botequins, Trailers e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Fast-Food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com abrang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ncia territorial em 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Alto Alegre/SP, Andradina/SP, Araçatuba/SP,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Auriflama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Avanhandava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/SP, Barbosa/SP, Bento de Abreu/SP, Bilac/SP, Birigui/SP, Braúna/SP, Brejo Alegre/SP,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Buritama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/SP, Castilho/SP, Clementina/SP, Coroados/SP, Floreal/SP, Gabriel Monteiro/SP, Gastão Vidigal/SP, General Salgado/SP, Glicério/SP,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Guaraçaí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/SP, Guararapes/SP,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Guzolândia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/SP, Ilha Solteira/SP,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Itapura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/SP, Lavínia/SP,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Luiziânia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/SP, Magda/SP, Mirandópolis/SP,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Murutinga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do Sul/SP, Nova Independência/SP, Nova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Luzitânia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Penápolis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/SP, Pereira Barreto/SP,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Piacatu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/SP, Rubiácea/SP, Santo Antônio do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Aracanguá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Santópolis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do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Aguapeí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Sud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Mennucci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/SP,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Turiúba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 e </w:t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Valparaíso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/SP. 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Salários, Reajustes e Pagamento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Piso Salarial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TERCEIRA - PISO INICIAL E NORMATIVO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b/>
                <w:sz w:val="24"/>
                <w:szCs w:val="28"/>
                <w:lang w:eastAsia="pt-BR"/>
              </w:rPr>
              <w:t xml:space="preserve">PISO INICIAL: 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Passa a partir de 01 de dezembro de 2010 para o valor de </w:t>
            </w:r>
            <w:r w:rsidRPr="007E3EE4">
              <w:rPr>
                <w:rFonts w:ascii="Arial" w:eastAsia="Times New Roman" w:hAnsi="Arial" w:cs="Arial"/>
                <w:b/>
                <w:sz w:val="24"/>
                <w:szCs w:val="28"/>
                <w:lang w:eastAsia="pt-BR"/>
              </w:rPr>
              <w:t>R$ 620,00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(Seiscentos e vinte reais), somente no Contrato de Experi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ncia de 60 (sessenta) dias. Ap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s este per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odo de experi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ncia, </w:t>
            </w:r>
            <w:r w:rsidRPr="007E3EE4">
              <w:rPr>
                <w:rFonts w:ascii="Arial" w:eastAsia="Times New Roman" w:hAnsi="Arial" w:cs="Arial"/>
                <w:b/>
                <w:sz w:val="24"/>
                <w:szCs w:val="28"/>
                <w:lang w:eastAsia="pt-BR"/>
              </w:rPr>
              <w:t>o Piso Salarial Normativo ser</w:t>
            </w:r>
            <w:r w:rsidRPr="007E3EE4">
              <w:rPr>
                <w:rFonts w:ascii="Tahoma" w:eastAsia="Times New Roman" w:hAnsi="Tahoma" w:cs="Tahoma"/>
                <w:b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b/>
                <w:sz w:val="24"/>
                <w:szCs w:val="28"/>
                <w:lang w:eastAsia="pt-BR"/>
              </w:rPr>
              <w:t xml:space="preserve"> de R$ 670,00 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(Setecentos e setenta reais);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b/>
                <w:sz w:val="24"/>
                <w:szCs w:val="28"/>
                <w:lang w:eastAsia="pt-BR"/>
              </w:rPr>
              <w:t xml:space="preserve">PARÁGRAFO PRIMEIRO: 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Ap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s 60 dias de trabalho, ningu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m poder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receber menos que o piso salarial normativo.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Reajustes/Correções Salariais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QUARTA - REAJUSTE SALARIAL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Sobre os Salários vigentes em 30/11/2010, aplicar-se o 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ndice de 8% (oito por cento), observando que caso o sal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rio reajustado n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o atinja o valor do piso salarial normativo, deve ser esse majorado para tanto.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b/>
                <w:sz w:val="24"/>
                <w:szCs w:val="28"/>
                <w:lang w:eastAsia="pt-BR"/>
              </w:rPr>
              <w:t>PARÁGRAFO ÚNICO: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As empresas poder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o compensar as antecipa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es espont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â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neas, abonos, antecipa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es legais ou compuls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rias.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Pagamento de Salário – Formas e Prazos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QUINTA - COMPROVANTE DE PAGAMENTO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É obrigat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 o fornecimento de comprovantes de pagamento aos empregados, com identifica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da empresa discriminando a natureza dos valores e as import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ân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cias pagas inclusive horas extras, comiss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es, gorjetas, gratifica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 e outros, bem como os descontos efetuados.</w:t>
            </w:r>
            <w:r w:rsidRPr="007E3EE4">
              <w:rPr>
                <w:rFonts w:ascii="Times New Roman" w:eastAsia="Times New Roman" w:hAnsi="Times New Roman" w:cs="Times New Roman"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SEXTA - </w:t>
            </w:r>
            <w:proofErr w:type="gram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ATRASO</w:t>
            </w:r>
            <w:proofErr w:type="gram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DE PAGAMENTO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pagamento dos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rios no prazo determinado por lei, 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 quinto dia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ú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til do m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 </w:t>
            </w:r>
            <w:proofErr w:type="spell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subseq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u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ente</w:t>
            </w:r>
            <w:proofErr w:type="spell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ao vencimento, acarretar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corre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de acordo com os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lastRenderedPageBreak/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ndices inflacion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rios da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poca e lei vigente, em favor ao empregado. 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SÉTIMA - ADIANTAMENTO SALARIAL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empresas fornecer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aos funcion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rios que assim o desejarem, vale de adiantamento de 40% (Quarenta por cento) do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 do empregado, 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15 (Quinze) dias ap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o pagamento do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 mensal; e se o funcionário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tiver 01 (Um) m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de trabalho completo, este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ser proporcional aos dias trabalhados se estes assim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o desejarem, apresentar a negativa do vale.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OITAVA - ATRASO NO PAGAMENTO DAS FÉRIAS E DO SALÁRIO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empresa que atrasar o pagamento de f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rias e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rios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incorrer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corre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o, de acordo com o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ndice da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poca e lei vigente, em favor ao empregado prejudicado.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Remuneração DSR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NONA - PAGAMENTO DE FERIAS E </w:t>
            </w:r>
            <w:proofErr w:type="gram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 13</w:t>
            </w:r>
            <w:proofErr w:type="gram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SAL</w:t>
            </w:r>
            <w:r w:rsidRPr="007E3EE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RIO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Para o pagamento das f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rias e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 13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rio, tanto proporcional quanto integral, </w:t>
            </w:r>
            <w:proofErr w:type="spell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computar-se-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</w:t>
            </w:r>
            <w:proofErr w:type="spell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todas as horas extras habitualmente trabalhadas, adicional noturno, comiss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es.</w:t>
            </w:r>
            <w:r w:rsidRPr="007E3EE4">
              <w:rPr>
                <w:rFonts w:ascii="Times New Roman" w:eastAsia="Times New Roman" w:hAnsi="Times New Roman" w:cs="Times New Roman"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Outras normas referentes a salários, reajustes, pagamentos e critérios para cálculo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DÉCIMA - PRODUTIVIDADE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Sobre os sal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rios j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devidamente corrigidos na data de 01/12/2010, ser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acrescido um percentual de 2% 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T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tulo de Produtividade, para quem j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estava na empresa desde dezembro de 2009.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PAR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GRAFO PRIMEIRO: Ser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aplicado o 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ndice de produtividade somente ap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s a majora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o do sal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rio.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b/>
                <w:sz w:val="24"/>
                <w:szCs w:val="28"/>
                <w:lang w:eastAsia="pt-BR"/>
              </w:rPr>
              <w:t>PARAGRAFO SEGUNDO: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Os empregados, independentemente da data de sua admiss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o, que tenham sal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rio igual ou superior a R$ 2.200,00 n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o ter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o direito ao percentual de produtividade.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Gratifica</w:t>
            </w:r>
            <w:r w:rsidRPr="007E3EE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es, Adicionais, Aux</w:t>
            </w:r>
            <w:r w:rsidRPr="007E3EE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lios e Outros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Adicional de Hora-Extra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DÉCIMA PRIMEIRA - HORAS EXTRAS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horas extraordin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 trabalhadas ap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a jornada normal de trabalho 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pagas com adicional de 55% (</w:t>
            </w:r>
            <w:proofErr w:type="spell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cinq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u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enta</w:t>
            </w:r>
            <w:proofErr w:type="spell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cinco por cento), calculadas sobre o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 base.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Adicional Noturno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D</w:t>
            </w:r>
            <w:r w:rsidRPr="007E3EE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CIMA SEGUNDA - TRABALHO NOTURNO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jornada noturna, considerada entre 22 (vinte e duas) horas 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as 05 (cinco) horas do dia posterior, 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calculada com adicional de 25% (vinte e cinco por cento) aplicando-se sobre os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ú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meros de horas efetivamente trabalhadas.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Outros Adicionais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DÉCIMA TERCEIRA - INCIDÊNCIA NOS DESCANSOS SEMANAIS REMUNERADOS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 pagamento dos descansos semanais remunerados incidir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obrigatoriamente, a parte vari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vel dos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rios, constitu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das por pr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mios de produ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o, comissões, adicional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noturno, horas extras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  <w:r w:rsidRPr="007E3EE4">
              <w:rPr>
                <w:rFonts w:ascii="Times New Roman" w:eastAsia="Times New Roman" w:hAnsi="Times New Roman" w:cs="Times New Roman"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Comissões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DÉCIMA QUARTA - DAS COMISSÕES E GORJETAS OBRIGATÓRIAS E COMPULSÓRIAS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Desde que para distribui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entre os seus empregados, as empresas poder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adotar o sistema de cobran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de gorjetas obrigat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 ou compuls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 10% (dez por cento), conforme Art.457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 da CLT.</w:t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1 - Na modalidade de cobran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de gorjetas obrigat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 ou compuls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rias, o resultado obtido com a cobran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destas, poder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ser retido pelas micro e pequenas empresas 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35% (trinta e cinco por cento) e as demais empresas 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40% (quarenta por cento) do valor bruto das mesmas para pagamento dos encargos fiscais e trabalhistas correspondente, bem como do INSS (parte do empregado), repassando aos empregados das micro e pequenas empresas 65% (sessenta e cinco por cento) e das demais empresas 60% (sessenta por cento) do valor remanescente, que 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inclusos em holerite em campo pr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prio distinto do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 fixo, que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ser quitado diretamente ao empregado, devendo esta situa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ser anotada em CTPS.</w:t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2 - A autoriza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para a inser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 gorjetas obrigat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 ou compuls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 nas notas dos clientes, bem como os crit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rios para o rateio e a distribui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e as fun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 beneficiadas do resultado obtido com a cobran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dessas gorjetas 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o, obrigatoriamente estabelecidos em Acordo Coletivo de Trabalho, firmado para esse fim especifico, entre a empresa e Sindicato dos Empregados, aplicando-se o sistema de Ponto Hoteleiro</w:t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3 - O regime de cobran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de gorjetas obrigat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 ou compuls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rias, descrito nesta cl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usula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opcional, por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m, o resultado da cobran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sempre, revertido em favor dos empregados, sob pena de il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cito penal.</w:t>
            </w:r>
            <w:r w:rsidRPr="007E3EE4">
              <w:rPr>
                <w:rFonts w:ascii="Times New Roman" w:eastAsia="Times New Roman" w:hAnsi="Times New Roman" w:cs="Times New Roman"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Auxílio Habitação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DÉCIMA QUINTA - ALOJAMENTO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Refei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 e Alojamentos fornecidos gratuitamente aos empregados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far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parte do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Auxílio Transporte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DÉCIMA SEXTA - TRANSPORTE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empresas estabelecidas fora do per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metro urbano fornecer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a seus empregados transporte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gratuito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desde que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haja transporte regular p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ú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blico.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PARAGRAFO </w:t>
            </w:r>
            <w:r w:rsidRPr="007E3EE4">
              <w:rPr>
                <w:rFonts w:ascii="Tahoma" w:eastAsia="Times New Roman" w:hAnsi="Tahoma" w:cs="Tahoma"/>
                <w:b/>
                <w:sz w:val="24"/>
                <w:szCs w:val="24"/>
                <w:lang w:eastAsia="pt-BR"/>
              </w:rPr>
              <w:t>Ú</w:t>
            </w: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NICO: HORAS “IN ITINERE” - 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Art. 58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  estabelece que o tempo despendido pelo empregado 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 local de trabalho e para o seu retorno, por qualquer meio de transporte,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computado na jornada de trabalho, salvo quando, tratando-se de local de dif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cil acesso ou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servido por transporte regular p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ú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blico, o empregador fornecer a condu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o.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ENUNCIADO 90 DO TST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Considerando que as horas “in </w:t>
            </w:r>
            <w:proofErr w:type="spell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itinere</w:t>
            </w:r>
            <w:proofErr w:type="spell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” 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comput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veis na jornada de trabalho, o tempo que ultrapassar a jornada legal, 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considerado como extraordin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rio e sobre ela deve incidir o adicional respectivo, ou seja, 50% sobre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hora normal, conforme artigo 7 inciso XVI da Constitui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Federal.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Contrato de Trabalho – Admissão, Demissão, Modalidades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Normas para Admissão/Contratação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DÉCIMA SÉTIMA - CONTRATO DE TRABALHO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é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obrigat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 o fornecimento de c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pia do contrato de trabalho e suas altera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 no ato da admiss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do empregado, tal formalidade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 dar mediante 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recibo.</w:t>
            </w:r>
            <w:r w:rsidRPr="007E3EE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DÉCIMA OITAVA - CONTRATO DE EXPERIÊNCIA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contrato de experi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ncia 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estipulado pelas empresas com o prazo m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nimo de 30 (Trinta) dias e poder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ser prorrogado por mais 30 (Trinta) dias,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excedendo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60 dias.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DÉCIMA NONA - READMISSÃO DO EMPREGADO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Todo o empregado que for readmitido 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06 (seis) meses ap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sua demiss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estar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desobrigado de firmar contrato de experi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ncia, desde que na mesma fun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Desligamento/Demissão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proofErr w:type="gram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CLÁUSULA VIGÉSIMA - ATESTADO DE AFASTAMENTO E SALÁRIO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End"/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Quando da Rescis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 contrato de trabalho, a empresa, quando solicitada, fornecer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ao empregado o atestado de afastamento e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 para fins previdenci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rios.</w:t>
            </w:r>
            <w:r w:rsidRPr="007E3EE4">
              <w:rPr>
                <w:rFonts w:ascii="Times New Roman" w:eastAsia="Times New Roman" w:hAnsi="Times New Roman" w:cs="Times New Roman"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VIGÉSIMA PRIMEIRA – HOMOLOGAÇÕES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homologa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 das rescis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 contratuais 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efetuadas preferencialmente no Sindicato dos Empregados desta Categoria Profissional e em suas Sub-Sedes. 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PARAGRAFO </w:t>
            </w:r>
            <w:r w:rsidRPr="007E3EE4">
              <w:rPr>
                <w:rFonts w:ascii="Tahoma" w:eastAsia="Times New Roman" w:hAnsi="Tahoma" w:cs="Tahoma"/>
                <w:b/>
                <w:sz w:val="24"/>
                <w:szCs w:val="24"/>
                <w:lang w:eastAsia="pt-BR"/>
              </w:rPr>
              <w:t>Ú</w:t>
            </w: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NICO: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No ato homologat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rio, as empresas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apresentar os documentos legalmente exigidos por lei.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Aviso Prévio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VIGÉSIMA SEGUNDA - DISPENSA DE AVISO PRÉVIO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dispensa do empregado de trabalhar no per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odo de aviso pr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vio implica na necessidade da quita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das verbas rescis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 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 d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cimo dia, contado da data da notifica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da dispensa, conforme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nea</w:t>
            </w:r>
            <w:proofErr w:type="spell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“b”, do art. 477 da CLT.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 xml:space="preserve">CLÁUSULA VIGÉSIMA TERCEIRA - AVISO PRÉVIO </w:t>
            </w:r>
            <w:proofErr w:type="gram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JUSTA CAUSA) E SUSPENSÃO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Caso a empresa dispense o empregado sob alega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 que o mesmo praticou falta grave,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entregar-lhe no ato carta aviso, sob pena de restar gerada presun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de dispensa imotivada. </w:t>
            </w:r>
          </w:p>
          <w:p w:rsidR="007E3EE4" w:rsidRPr="007E3EE4" w:rsidRDefault="007E3EE4" w:rsidP="007E3E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PARAGRAFO ÚNICO: 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Presumir-se-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injusta a suspens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 empregado, quando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lhe forem informados os motivos determinantes, por escrito.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proofErr w:type="spellStart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Mão-de-Obra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Temporária/Terceirização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br/>
              <w:t>CLÁUSULA VIGÉSIMA QUARTA - TRABALHO EM FEIRAS EM GERAL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empresas que utilizarem m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o-de-obra da categoria para trabalho nas feiras em geral,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providenciar junto ao Sindicato dos Empregados no Com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rcio Hoteleiro e Similares de Araçatuba, contrato de trabalho por tempo determinado previsto no art. 479 da CLT, registro em CTPS, e demais benef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cios da Conven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vigente, efetuando os pagamentos e recolhimentos proporcionais aos dias trabalhados. </w:t>
            </w:r>
          </w:p>
          <w:p w:rsidR="007E3EE4" w:rsidRPr="007E3EE4" w:rsidRDefault="007E3EE4" w:rsidP="007E3EE4">
            <w:pPr>
              <w:spacing w:after="10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PARAGRAFO ÚNICO – 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Empresas organizadoras de Eventos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ficam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obrigadas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enviar ao Sindicato dos Empregados rela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das Empresas locadoras de espa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o. </w:t>
            </w:r>
          </w:p>
          <w:p w:rsidR="007E3EE4" w:rsidRPr="007E3EE4" w:rsidRDefault="007E3EE4" w:rsidP="007E3E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VIGÉSIMA QUINTA - USO DA MÃO DE OBRA EXTRAS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Empresas que utilizarem Empregados contratados em regime “Extras, Free-Lance”, finais de semanas, 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(tr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s) vezes,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registrar em CTPS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rio proporcional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horas trabalhadas, tendo como base o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 normativo da Categoria, e demais benef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cios da Conven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Coletiva Vigente. 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PARAGRAFO ÚNICO: 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Em se tratando de </w:t>
            </w:r>
            <w:proofErr w:type="spell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Buffets</w:t>
            </w:r>
            <w:proofErr w:type="spell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os mesmos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cadastrar-se no Sindicato de Hot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is, Restaurantes, Bares e Similares de Ara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atuba e enviar ao Sindicato dos Empregados no Com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rcio Hoteleiro e Similares de Ara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atuba rela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 funcion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rios contratados por festa.</w:t>
            </w:r>
          </w:p>
          <w:p w:rsidR="007E3EE4" w:rsidRPr="007E3EE4" w:rsidRDefault="007E3EE4" w:rsidP="007E3E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Relações de Trabalho – Condições de Trabalho, Normas de Pessoal e Estabilidades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Atribuições da Função/Desvio de Função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VIGÉSIMA SEXTA - SALÁRIO SUBSTITUTO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Garantia ao empregado admitido para a fun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do outro, dispensado, sem justa causa de igual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 ao empregado de menor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rio, na mesma fun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o, sem considerar vantagens pessoais.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Estabilidade Mãe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VIGÉSIMA SÉTIMA - ESTABILIDADE GESTANTE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Fica garantida a estabilidade provis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ria no emprego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mulheres gestantes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partir da concep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o, de 60 (sessenta) dias ap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o termino do afastamento compuls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rio.</w:t>
            </w:r>
            <w:r w:rsidRPr="007E3EE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Estabilidade Serviço Militar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VIGÉSIMA OITAVA - EMPREGADO EM IDADE MILITAR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Estabilidade provis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 em idade de Presta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 servi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militar do seu alistamento de 30 (trinta) dias ap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baixa ou desincorpora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Estabilidade Acidentados/Portadores Doença Profissional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VIGÉSIMA NONA - ACIDENTE DE TRABALHO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Garantia de estabilidade do empregado v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tima de acidente de trabalho de 12 (Doze) meses ap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a “alta” da Previd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ncia social, conforme art</w:t>
            </w: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. 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118 Lei 8213 de</w:t>
            </w: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24/06/91.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Estabilidade Aposentadoria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TRIGÉSIMA – CONCESSÃO PARA APOSENTADORIA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Terá estabilidade no emprego aquele que contar com prazo de 12 (doze) meses para a concess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da aposentadoria, desde que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cometa falta grave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pe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demiss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ou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requeira a aposentadoria.</w:t>
            </w:r>
            <w:r w:rsidRPr="007E3EE4">
              <w:rPr>
                <w:rFonts w:ascii="Times New Roman" w:eastAsia="Times New Roman" w:hAnsi="Times New Roman" w:cs="Times New Roman"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Outras normas referentes a condições para o exerc</w:t>
            </w:r>
            <w:r w:rsidRPr="007E3EE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cio do trabalho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TRIGÉSIMA PRIMEIRA - COMUNICAÇÃO DE ACIDENTE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empresa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comunicar ao Sindicato em 48 horas o acidente fatal 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ocorrido com o funcion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rio, na empresa ou no trajeto.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TRIGÉSIMA SEGUNDA – PROTEÇÃO Á MATERNIDADE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empresas que tiverem funcion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 em per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odo de aleitamento materno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conceder 1 hora (dividido em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odos) para amamenta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que o filho complete 06 (seis) meses, conforme art. 396 da </w:t>
            </w:r>
            <w:proofErr w:type="spell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C.L.T.</w:t>
            </w:r>
            <w:proofErr w:type="spellEnd"/>
            <w:r w:rsidRPr="007E3EE4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Jornada de Trabalho – Duração, Distribuição, Controle, Faltas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Duração e Horário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TRIGÉSIMA TERCEIRA - JORNADA DE TRABALHO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jornada de trabalho normal do Empregado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7:20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(Sete horas e vinte minutos) por dia, ou seja, 44 horas semanais.</w:t>
            </w:r>
            <w:r w:rsidRPr="007E3EE4">
              <w:rPr>
                <w:rFonts w:ascii="Times New Roman" w:eastAsia="Times New Roman" w:hAnsi="Times New Roman" w:cs="Times New Roman"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Prorrogação/Redução de Jornada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TRIGÉSIMA QUARTA - PRORROGAÇÃO E COMPENSAÇÃO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Fica estabelecida a possibilidade de Acordo Coletivo de Trabalho entre empregador e seus respectivos empregados para a prorroga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e compensa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da jornada de trabalho, ainda, a prorroga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do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intervalo durante a jornada de trabalho, observadas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as formalidades prevista pela CLT, para tanto a Empresa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procurar o Sindicato dos Empregados no Comercio Hoteleiro e Similares de Ara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atuba, para formalizar documenta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necess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ria, e registro no Minist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 do Trabalho.</w:t>
            </w:r>
            <w:r w:rsidRPr="007E3EE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Descanso Semanal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TRIGÉSIMA QUINTA - TRABALHO AOS DOMINGOS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trabalho aos domingos 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feito conforme a Lei 10.101 de 2000, alterada pela Lei 11.603, de 05 de dezembro de 2007. Na eventualidade de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conceder a folga no domingo conforme a legisla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o, este 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pago em dobro.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PARÁGRAFO PRIMEIRO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 Fica autorizado o trabalho em feriados, com pagamento em dobro, conforme legislação e possibilidade de compensa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dentro do m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s, dando ao trabalhador dois dias de folga pelo feriado trabalhado.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Controle da Jornada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TRIGÉSIMA SEXTA - CONTROLE DE HORÁRIO DE TRABALHO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obrigat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 a utiliza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 livro de ponto ou cart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mecanizado para o efetivo controle de hor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 de trabalho, a fim de possibilitar o real pagamento das horas trabalhadas 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 da jornada normal. Tal medida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ser tomada por todas as empresas, independente do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ú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mero de empregados.</w:t>
            </w:r>
          </w:p>
          <w:p w:rsidR="007E3EE4" w:rsidRPr="007E3EE4" w:rsidRDefault="007E3EE4" w:rsidP="007E3E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Faltas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TRIGÉSIMA SÉTIMA - ABONO DE FALTAS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abonadas as faltas aos empregados estudantes, para presta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 exames escolares, mediante pr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via comunica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ao empregador com anteced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ên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cia m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nima de 24 (vinte e quatro) horas e posterior comprova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o, desde que o hor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 de trabalho coincida integralmente com o hor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 do exame escolar.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Férias e Licenças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Duração e Concessão de Férias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TRIGÉSIMA OITAVA - INICIO DE FÉRIAS E PERIODO AQUISITIVO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per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odo de f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poder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iniciar em dias de 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bado, Domingo ou Feriado, 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 xml:space="preserve">devendo prevalecer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regras estabelecidas na Conven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132 da OIT quanto ao direito de receber as f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 indenizadas proporcionais, os empregados que se demitirem do trabalho.</w:t>
            </w:r>
            <w:r w:rsidRPr="007E3EE4">
              <w:rPr>
                <w:rFonts w:ascii="Times New Roman" w:eastAsia="Times New Roman" w:hAnsi="Times New Roman" w:cs="Times New Roman"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Saúde e Segurança do Trabalhador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Condições de Ambiente de Trabalho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TRIGÉSIMA NONA - RECOMENDAÇÕES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Recomendar aos empregadores para manterem adequadamente as instala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 sanit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rias, a higiene e limpeza no local de trabalho, oferecer todos os meios de seguran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a, materiais e </w:t>
            </w:r>
            <w:proofErr w:type="spell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utens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lios</w:t>
            </w:r>
            <w:proofErr w:type="spell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para execu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dos servi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os, quando do pagamento de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rio por cheques,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admitir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como em servi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a comparecer em expedientes banc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rios para tal fim. Encaminhar sempre que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poss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vel empregados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 cursos, treinamentos ou habilidades profissionais da categoria, manter a escala de revezamento com anteced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ncia legal, fornecer lanches gratuitamente quando da realiza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 servi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os extraordin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rios, bem como manter as boas rela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 entre empregador e empregados.</w:t>
            </w:r>
            <w:r w:rsidRPr="007E3EE4">
              <w:rPr>
                <w:rFonts w:ascii="Times New Roman" w:eastAsia="Times New Roman" w:hAnsi="Times New Roman" w:cs="Times New Roman"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Uniforme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QUADRAGÉSIMA - UNIFORME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Fornecimento gratuito pelo empregador, de uniforme, fardamento e demais pe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do vestu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rio, sempre que exigidos para a execu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do trabalho.</w:t>
            </w:r>
          </w:p>
          <w:p w:rsidR="007E3EE4" w:rsidRPr="007E3EE4" w:rsidRDefault="007E3EE4" w:rsidP="007E3E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Primeiros Socorros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QUADRAGÉSIMA PRIMEIRA - PRIMEIROS SOCORROS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empresas com mais de 05 (cinco) funcion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rios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manter no local de trabalho caixa de primeiros socorros, para poss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veis emerg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ncias.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Relações Sindicais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Acesso do Sindicato ao Local de Trabalho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QUADRAGÉSIMA SEGUNDA - FILIAÇÃO SINDICAL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Os empregadores dar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permiss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ao Sindicato profissional para, em dia e hora previamente ajustados, promover, atrav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dos seus representantes devidamente credenciados, a filia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 novos associados nos locais de trabalho dos empregados, conforme precedente número 30 do TRT 15 Regi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Liberação de Empregados para Atividades Sindicais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QUADRAGÉSIMA TERCEIRA - ABONO DE FALTAS PARA EVENTOS SINDICAIS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empresas dispensar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o, mediante solicita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do Sindicato, os dirigentes</w:t>
            </w: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sindicais, um por empresa, para participa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em congressos, cursos, confer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ncias, reuni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es, semin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rios, sem preju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zo dos respectivos vencimentos. A libera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ser solicitada com anteced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ncia m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nima de dez dias, pelo Sindicato, no m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ximo de cinco dias por ano, conforme precedente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úmero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31 do TRT 15 Regi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Contribuições Sindicais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QUADRAGÉSIMA QUARTA - CONTRIBUIÇÃO ASSISTENCIAL DOS EMPREGADOS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Nos termos do artigo 513, letra “e”, da CLT, inciso IV do Artigo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da CF/88 e Artigo 545 da CLT, as empresas descontar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de seus empregados </w:t>
            </w:r>
            <w:proofErr w:type="spell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benefciados</w:t>
            </w:r>
            <w:proofErr w:type="spell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por essa Conven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coletiva de Trabalho, nas folhas de pagamento, mensalmente a ser recolhido em favor do Sindicato dos Empregados no Com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rcio Hoteleiro Bares Restaurantes de Ara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atuba e </w:t>
            </w:r>
            <w:proofErr w:type="spell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ça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</w:t>
            </w:r>
            <w:proofErr w:type="spell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as Contribui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 Assistenciais, observando-se desde j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 direito de oposi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ao desconto das contribui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es. Aludida manifesta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dever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ser feita atrav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de requerimento a ser entregue individual e pessoalmente pelo empregado na sede do sindicato, devendo constar no mesmo o nome, qualifica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o, n. da CTPS e nome da empresa em que trabalha e ser entregue 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20 (vinte) dias antes do pagamento reajustado.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lastRenderedPageBreak/>
              <w:t>RECOLHIMENTO MENSAL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= De 01/12/2010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30/11/2011. Valor de 2% (Dois por cento) na folha de pagamento mensal, a ser recolhido at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 dia 10 (dez) de cada m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 </w:t>
            </w:r>
            <w:proofErr w:type="spell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subseq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u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ente</w:t>
            </w:r>
            <w:proofErr w:type="spell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PARAGRAFO ÚNICO: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se tratando de contribui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Assistencial dos Empregados, acarretar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para o Empregador multa de 10% (dez por cento) sobre os valores descontados e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recolhidos no prazo legal, acrescidos de l% (um por cento) de juros ao m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ê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s.</w:t>
            </w:r>
            <w:r w:rsidRPr="007E3EE4">
              <w:rPr>
                <w:rFonts w:ascii="Times New Roman" w:eastAsia="Times New Roman" w:hAnsi="Times New Roman" w:cs="Times New Roman"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QUADRAGÉSIMA QUINTA - CONTRIBUIÇÃO ASSISTENCIAL PATRONAL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empresas recolher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favor do Sindicato de Hot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is, Restaurantes, Bares e Similares de Ara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atuba a Contribui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Assistencial no valor ora discriminado: para bares, mercearias e padarias a import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â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ncia de R$ 30,00 (trinta reais), para micro Empresas, a import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â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ncia de R$ 60,00 (sessenta reais) e R$ 90,00 (noventa reais) para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micro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Empresas a serem recolhidos nas seguintes datas, 15/02/2011, 15/05/2011, 15/08/2011 e 15/11/2011, atrav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de guias distribu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í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das gratuitamente pela entidade. A multa para o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recolhimento desta contribui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10% (por cento) para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micro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Empresas e n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micro, inclusive para recolhimento em atraso.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Outras disposições sobre relação entre sindicato e empresa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QUADRAGÉSIMA SEXTA - QUADRO DE AVISO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Ressalvadas as situa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 mais favor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veis j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existentes, as empresas colocar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á disposi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do Sindicato quadro de Avisos para a afixa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de comunicados oficiais de interesse da categoria, que 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encaminhados ao setor competente da empresa, incumbindo-se esta de sua afixa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dentro do prazo de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(oito) horas posteriores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documento</w:t>
            </w:r>
            <w:r w:rsidRPr="007E3EE4">
              <w:rPr>
                <w:rFonts w:ascii="Times New Roman" w:eastAsia="Times New Roman" w:hAnsi="Times New Roman" w:cs="Times New Roman"/>
                <w:sz w:val="36"/>
                <w:szCs w:val="36"/>
                <w:lang w:eastAsia="pt-BR"/>
              </w:rPr>
              <w:t xml:space="preserve"> 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QUADRAGÉSIMA SÉTIMA - CONTRIBUIÇÃO ASSISTENCIAL E SINDICAL REMESSA DE COPIAS DAS GUIAS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Os empregadores entregar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o, ao sindicato dos Empregados, </w:t>
            </w:r>
            <w:proofErr w:type="gramStart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ó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pias das guias das contribui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 sindical e assistencial, com a rela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nominal dos respectivos contribuintes e indica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dos sal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rios destes, no prazo de 30 dias</w:t>
            </w:r>
            <w:proofErr w:type="gramEnd"/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contados da data do desconto, conforme Precedente Normativo 24/TRT 15 Regi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o.</w:t>
            </w:r>
            <w:r w:rsidRPr="007E3EE4">
              <w:rPr>
                <w:rFonts w:ascii="Times New Roman" w:eastAsia="Times New Roman" w:hAnsi="Times New Roman" w:cs="Times New Roman"/>
                <w:sz w:val="36"/>
                <w:szCs w:val="36"/>
                <w:lang w:eastAsia="pt-BR"/>
              </w:rPr>
              <w:t xml:space="preserve"> </w:t>
            </w:r>
            <w:bookmarkStart w:id="0" w:name="30"/>
            <w:bookmarkEnd w:id="0"/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Disposições Gerais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Mecanismos de Solução de Conflitos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QUADRAGÍSIMA OITAVA - COMPETÊNCIA</w:t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competente 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Justi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 Trabalho para conhecer e julgar A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 de Cumprimento envolvendo quaisquer das partes ou condi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çõ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 do presente Acordo, conforme lei 8.984, de 07 de fevereiro de 1995, a que compete o art. 114 da Constitui</w:t>
            </w:r>
            <w:r w:rsidRPr="007E3EE4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Federal.</w:t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Descumprimento do Instrumento Coletivo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CLÁUSULA QUADRAGÍSIMA NONA - MULTA</w:t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Os empregadores pagar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ã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o multa de 10% (dez por cento) do sal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rio normativo da categoria por cl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á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usula de cada senten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ç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 normativa, ou Acordo Coletivo descumprido, revertendo o valor correspondente em beneficio da parte prejudicada, sendo que em se tratando de Contribui</w:t>
            </w:r>
            <w:r w:rsidRPr="007E3EE4">
              <w:rPr>
                <w:rFonts w:ascii="Tahoma" w:eastAsia="Times New Roman" w:hAnsi="Tahoma" w:cs="Tahoma"/>
                <w:sz w:val="24"/>
                <w:szCs w:val="28"/>
                <w:lang w:eastAsia="pt-BR"/>
              </w:rPr>
              <w:t>çã</w:t>
            </w:r>
            <w:r w:rsidRPr="007E3EE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o Assistencial dos Empregados, a multa aqui mencionada ao empregado.</w:t>
            </w:r>
          </w:p>
          <w:p w:rsidR="007E3EE4" w:rsidRPr="007E3EE4" w:rsidRDefault="007E3EE4" w:rsidP="007E3E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3EE4" w:rsidRPr="007E3EE4" w:rsidRDefault="007E3EE4" w:rsidP="007E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3EE4" w:rsidRPr="007E3EE4" w:rsidRDefault="007E3EE4" w:rsidP="007E3E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tbl>
            <w:tblPr>
              <w:tblW w:w="0" w:type="auto"/>
              <w:jc w:val="center"/>
              <w:tblCellSpacing w:w="15" w:type="dxa"/>
              <w:tblLook w:val="04A0"/>
            </w:tblPr>
            <w:tblGrid>
              <w:gridCol w:w="7858"/>
            </w:tblGrid>
            <w:tr w:rsidR="007E3EE4" w:rsidRPr="007E3EE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E3EE4" w:rsidRPr="007E3EE4" w:rsidRDefault="007E3EE4" w:rsidP="007E3EE4">
                  <w:pPr>
                    <w:spacing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GERALDO DOS REIS</w:t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Membro de Diretoria Colegiada</w:t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SINDICATO DOS EMP NO COM HOTELEIRO E SIM DE ARACATUBA</w:t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GERALDO DOS REIS</w:t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Procurador</w:t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FEDERACAO EMPREGS COMERCIO HOTELEIRO SIMIL ESTA S PAULO</w:t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LIU SHANG SHIEN</w:t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Presidente</w:t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SINDICATO DE HOTEIS REST BARES E SIMILARES DE ARACATUBA</w:t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LIU SHANG SHIEN</w:t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Procurador</w:t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FED HOTEIS RESTAURANTES BARES E SIMILARES EST SAO PAULO</w:t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7E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</w:p>
              </w:tc>
            </w:tr>
          </w:tbl>
          <w:p w:rsidR="007E3EE4" w:rsidRPr="007E3EE4" w:rsidRDefault="007E3EE4" w:rsidP="007E3E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   A autenticidade deste documento poderá ser confirmada na Página do Ministério do Trabalho e Emprego na Internet, no endereço </w:t>
            </w:r>
            <w:proofErr w:type="gramStart"/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http://www.mte.gov.br .</w:t>
            </w:r>
            <w:proofErr w:type="gramEnd"/>
            <w:r w:rsidRPr="007E3E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D20D5D" w:rsidRDefault="00D20D5D"/>
    <w:sectPr w:rsidR="00D20D5D" w:rsidSect="00D20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3EE4"/>
    <w:rsid w:val="007E3EE4"/>
    <w:rsid w:val="00D2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2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8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10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6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6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3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0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9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4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3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7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1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5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6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7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5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6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5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3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3612</Words>
  <Characters>19508</Characters>
  <Application>Microsoft Office Word</Application>
  <DocSecurity>0</DocSecurity>
  <Lines>162</Lines>
  <Paragraphs>46</Paragraphs>
  <ScaleCrop>false</ScaleCrop>
  <Company/>
  <LinksUpToDate>false</LinksUpToDate>
  <CharactersWithSpaces>23074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</dc:creator>
  <cp:lastModifiedBy>Caio</cp:lastModifiedBy>
  <cp:revision>1</cp:revision>
  <dcterms:created xsi:type="dcterms:W3CDTF">2012-01-30T11:58:00Z</dcterms:created>
  <dcterms:modified xsi:type="dcterms:W3CDTF">2012-01-30T11:59:00Z</dcterms:modified>
</cp:coreProperties>
</file>